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E52EC5" w14:textId="067B5C8C" w:rsidR="009F7692" w:rsidRPr="00E35C52" w:rsidRDefault="00F66263" w:rsidP="00F9221D">
      <w:pPr>
        <w:jc w:val="both"/>
        <w:rPr>
          <w:rFonts w:ascii="Times New Roman" w:hAnsi="Times New Roman" w:cs="Times New Roman"/>
          <w:b/>
          <w:caps/>
        </w:rPr>
      </w:pPr>
      <w:r w:rsidRPr="00E35C52">
        <w:rPr>
          <w:rFonts w:ascii="Times New Roman" w:hAnsi="Times New Roman" w:cs="Times New Roman"/>
          <w:b/>
          <w:caps/>
        </w:rPr>
        <w:t>MARIA IORIO &amp; RAPHAËL CUOMO</w:t>
      </w:r>
    </w:p>
    <w:p w14:paraId="1D40054C" w14:textId="77777777" w:rsidR="009F7692" w:rsidRPr="009F7692" w:rsidRDefault="009F7692" w:rsidP="00F9221D">
      <w:pPr>
        <w:jc w:val="both"/>
        <w:rPr>
          <w:rFonts w:ascii="Times New Roman" w:hAnsi="Times New Roman" w:cs="Times New Roman"/>
        </w:rPr>
      </w:pPr>
    </w:p>
    <w:p w14:paraId="58E0A9F8" w14:textId="0CFABD34" w:rsidR="00F9221D" w:rsidRPr="0081157B" w:rsidRDefault="00F9221D" w:rsidP="00F9221D">
      <w:pPr>
        <w:jc w:val="both"/>
        <w:rPr>
          <w:rFonts w:ascii="Times New Roman" w:hAnsi="Times New Roman" w:cs="Times New Roman"/>
          <w:sz w:val="23"/>
          <w:szCs w:val="23"/>
        </w:rPr>
      </w:pPr>
      <w:r w:rsidRPr="0081157B">
        <w:rPr>
          <w:rFonts w:ascii="Times New Roman" w:hAnsi="Times New Roman" w:cs="Times New Roman"/>
          <w:sz w:val="23"/>
          <w:szCs w:val="23"/>
        </w:rPr>
        <w:t xml:space="preserve">Maria Iorio e Raphaël Cuomo lavorano con una pratica fondata su approcci socialmente e politicamente densi che alterano le norme </w:t>
      </w:r>
      <w:proofErr w:type="spellStart"/>
      <w:r w:rsidRPr="0081157B">
        <w:rPr>
          <w:rFonts w:ascii="Times New Roman" w:hAnsi="Times New Roman" w:cs="Times New Roman"/>
          <w:i/>
          <w:sz w:val="23"/>
          <w:szCs w:val="23"/>
        </w:rPr>
        <w:t>straight</w:t>
      </w:r>
      <w:proofErr w:type="spellEnd"/>
      <w:r w:rsidRPr="0081157B">
        <w:rPr>
          <w:rFonts w:ascii="Times New Roman" w:hAnsi="Times New Roman" w:cs="Times New Roman"/>
          <w:sz w:val="23"/>
          <w:szCs w:val="23"/>
        </w:rPr>
        <w:t xml:space="preserve"> dell’identità nazionale italiana, della sua forma e del suo racconto. Grazie a tattiche documentarie e ricostruzioni storiciste narrative, veicolate da traiettorie di ricerca a lungo termine e </w:t>
      </w:r>
      <w:r w:rsidRPr="0081157B">
        <w:rPr>
          <w:rFonts w:ascii="Times New Roman" w:hAnsi="Times New Roman" w:cs="Times New Roman"/>
          <w:i/>
          <w:sz w:val="23"/>
          <w:szCs w:val="23"/>
        </w:rPr>
        <w:t>display</w:t>
      </w:r>
      <w:r w:rsidRPr="0081157B">
        <w:rPr>
          <w:rFonts w:ascii="Times New Roman" w:hAnsi="Times New Roman" w:cs="Times New Roman"/>
          <w:sz w:val="23"/>
          <w:szCs w:val="23"/>
        </w:rPr>
        <w:t xml:space="preserve"> analitici, Maria Iorio &amp; Raphaël Cuomo assumono criticamente la dimensione dell’italianità, ponendosi in uno scarto puntuale, per misurare la </w:t>
      </w:r>
      <w:proofErr w:type="spellStart"/>
      <w:r w:rsidRPr="0081157B">
        <w:rPr>
          <w:rFonts w:ascii="Times New Roman" w:hAnsi="Times New Roman" w:cs="Times New Roman"/>
          <w:sz w:val="23"/>
          <w:szCs w:val="23"/>
        </w:rPr>
        <w:t>performatività</w:t>
      </w:r>
      <w:proofErr w:type="spellEnd"/>
      <w:r w:rsidRPr="0081157B">
        <w:rPr>
          <w:rFonts w:ascii="Times New Roman" w:hAnsi="Times New Roman" w:cs="Times New Roman"/>
          <w:sz w:val="23"/>
          <w:szCs w:val="23"/>
        </w:rPr>
        <w:t xml:space="preserve"> di un passato recente – ma storicizzato – nella sua emergenza attuale. Il contesto italiano diventa così </w:t>
      </w:r>
      <w:r w:rsidRPr="0081157B">
        <w:rPr>
          <w:rFonts w:ascii="Times New Roman" w:hAnsi="Times New Roman" w:cs="Times New Roman"/>
          <w:i/>
          <w:sz w:val="23"/>
          <w:szCs w:val="23"/>
        </w:rPr>
        <w:t>persona</w:t>
      </w:r>
      <w:r w:rsidRPr="0081157B">
        <w:rPr>
          <w:rFonts w:ascii="Times New Roman" w:hAnsi="Times New Roman" w:cs="Times New Roman"/>
          <w:sz w:val="23"/>
          <w:szCs w:val="23"/>
        </w:rPr>
        <w:t xml:space="preserve"> concettuale o figura metonimica per investire con piglio valutativo la realtà di un’Europa dove le immagini di “corpi stranieri desideranti” circolano ad una velocità tale da uscirne smaterializzati. Un’accelerazione indotta che impedisce a questi stessi corpi in transito di penetrare un’entità già incrinata dai prop</w:t>
      </w:r>
      <w:r w:rsidR="006A63A5">
        <w:rPr>
          <w:rFonts w:ascii="Times New Roman" w:hAnsi="Times New Roman" w:cs="Times New Roman"/>
          <w:sz w:val="23"/>
          <w:szCs w:val="23"/>
        </w:rPr>
        <w:t>ri desideri di austerità e auto</w:t>
      </w:r>
      <w:r w:rsidRPr="0081157B">
        <w:rPr>
          <w:rFonts w:ascii="Times New Roman" w:hAnsi="Times New Roman" w:cs="Times New Roman"/>
          <w:sz w:val="23"/>
          <w:szCs w:val="23"/>
        </w:rPr>
        <w:t>immunità.</w:t>
      </w:r>
      <w:r w:rsidR="006A63A5">
        <w:rPr>
          <w:rFonts w:ascii="Times New Roman" w:hAnsi="Times New Roman" w:cs="Times New Roman"/>
          <w:sz w:val="23"/>
          <w:szCs w:val="23"/>
        </w:rPr>
        <w:t xml:space="preserve"> </w:t>
      </w:r>
    </w:p>
    <w:p w14:paraId="21A591A2" w14:textId="49D2FDF2" w:rsidR="00F9221D" w:rsidRPr="0081157B" w:rsidRDefault="00F9221D" w:rsidP="00F9221D">
      <w:pPr>
        <w:jc w:val="both"/>
        <w:rPr>
          <w:rFonts w:ascii="Times New Roman" w:hAnsi="Times New Roman" w:cs="Times New Roman"/>
          <w:sz w:val="23"/>
          <w:szCs w:val="23"/>
        </w:rPr>
      </w:pPr>
      <w:r w:rsidRPr="0081157B">
        <w:rPr>
          <w:rFonts w:ascii="Times New Roman" w:hAnsi="Times New Roman" w:cs="Times New Roman"/>
          <w:sz w:val="23"/>
          <w:szCs w:val="23"/>
        </w:rPr>
        <w:t>Iorio &amp; Cuomo posizionano la propria pratica in quei precisi interstizi discorsivi che, come osservava Michael Walzer, interrompono l’omogeneità etnica e linguistica dell’Europa per promuovere nuove modalità d’appartenenza te</w:t>
      </w:r>
      <w:r w:rsidR="006A63A5">
        <w:rPr>
          <w:rFonts w:ascii="Times New Roman" w:hAnsi="Times New Roman" w:cs="Times New Roman"/>
          <w:sz w:val="23"/>
          <w:szCs w:val="23"/>
        </w:rPr>
        <w:t>rritoriale antirazziste ed ant</w:t>
      </w:r>
      <w:r w:rsidRPr="0081157B">
        <w:rPr>
          <w:rFonts w:ascii="Times New Roman" w:hAnsi="Times New Roman" w:cs="Times New Roman"/>
          <w:sz w:val="23"/>
          <w:szCs w:val="23"/>
        </w:rPr>
        <w:t xml:space="preserve">imperialiste. Agendo sugli assi portanti del disequilibrio del territorio nazionale, il lavoro artistico procede per attivazione e traduzione di un patrimonio archivistico “in latenza” opponendosi allo stesso tempo alla sua reificazione e a fascinazioni estetiche. Una deriva metodologica che risuona con le analisi strutturali che </w:t>
      </w:r>
      <w:proofErr w:type="spellStart"/>
      <w:r w:rsidRPr="0081157B">
        <w:rPr>
          <w:rFonts w:ascii="Times New Roman" w:hAnsi="Times New Roman" w:cs="Times New Roman"/>
          <w:sz w:val="23"/>
          <w:szCs w:val="23"/>
        </w:rPr>
        <w:t>Ann</w:t>
      </w:r>
      <w:proofErr w:type="spellEnd"/>
      <w:r w:rsidRPr="0081157B">
        <w:rPr>
          <w:rFonts w:ascii="Times New Roman" w:hAnsi="Times New Roman" w:cs="Times New Roman"/>
          <w:sz w:val="23"/>
          <w:szCs w:val="23"/>
        </w:rPr>
        <w:t xml:space="preserve"> Laura </w:t>
      </w:r>
      <w:proofErr w:type="spellStart"/>
      <w:r w:rsidRPr="0081157B">
        <w:rPr>
          <w:rFonts w:ascii="Times New Roman" w:hAnsi="Times New Roman" w:cs="Times New Roman"/>
          <w:sz w:val="23"/>
          <w:szCs w:val="23"/>
        </w:rPr>
        <w:t>Stoler</w:t>
      </w:r>
      <w:proofErr w:type="spellEnd"/>
      <w:r w:rsidRPr="0081157B">
        <w:rPr>
          <w:rFonts w:ascii="Times New Roman" w:hAnsi="Times New Roman" w:cs="Times New Roman"/>
          <w:sz w:val="23"/>
          <w:szCs w:val="23"/>
        </w:rPr>
        <w:t xml:space="preserve"> dedica all’archivio nel testo </w:t>
      </w:r>
      <w:r w:rsidRPr="0081157B">
        <w:rPr>
          <w:rFonts w:ascii="Times New Roman" w:hAnsi="Times New Roman" w:cs="Times New Roman"/>
          <w:i/>
          <w:sz w:val="23"/>
          <w:szCs w:val="23"/>
        </w:rPr>
        <w:t xml:space="preserve">Along the </w:t>
      </w:r>
      <w:proofErr w:type="spellStart"/>
      <w:r w:rsidRPr="0081157B">
        <w:rPr>
          <w:rFonts w:ascii="Times New Roman" w:hAnsi="Times New Roman" w:cs="Times New Roman"/>
          <w:i/>
          <w:sz w:val="23"/>
          <w:szCs w:val="23"/>
        </w:rPr>
        <w:t>Archival</w:t>
      </w:r>
      <w:proofErr w:type="spellEnd"/>
      <w:r w:rsidRPr="0081157B">
        <w:rPr>
          <w:rFonts w:ascii="Times New Roman" w:hAnsi="Times New Roman" w:cs="Times New Roman"/>
          <w:i/>
          <w:sz w:val="23"/>
          <w:szCs w:val="23"/>
        </w:rPr>
        <w:t xml:space="preserve"> </w:t>
      </w:r>
      <w:proofErr w:type="spellStart"/>
      <w:r w:rsidRPr="0081157B">
        <w:rPr>
          <w:rFonts w:ascii="Times New Roman" w:hAnsi="Times New Roman" w:cs="Times New Roman"/>
          <w:i/>
          <w:sz w:val="23"/>
          <w:szCs w:val="23"/>
        </w:rPr>
        <w:t>Grain</w:t>
      </w:r>
      <w:proofErr w:type="spellEnd"/>
      <w:r w:rsidRPr="0081157B">
        <w:rPr>
          <w:rFonts w:ascii="Times New Roman" w:hAnsi="Times New Roman" w:cs="Times New Roman"/>
          <w:sz w:val="23"/>
          <w:szCs w:val="23"/>
        </w:rPr>
        <w:t>, segnalando la crucialità dell’itinerario che i documenti seguono in seno alle a</w:t>
      </w:r>
      <w:r w:rsidR="006A63A5">
        <w:rPr>
          <w:rFonts w:ascii="Times New Roman" w:hAnsi="Times New Roman" w:cs="Times New Roman"/>
          <w:sz w:val="23"/>
          <w:szCs w:val="23"/>
        </w:rPr>
        <w:t>mministrazioni coloniali e post</w:t>
      </w:r>
      <w:r w:rsidRPr="0081157B">
        <w:rPr>
          <w:rFonts w:ascii="Times New Roman" w:hAnsi="Times New Roman" w:cs="Times New Roman"/>
          <w:sz w:val="23"/>
          <w:szCs w:val="23"/>
        </w:rPr>
        <w:t xml:space="preserve">coloniali e sottolineando la maniera in cui queste traiettorie riconfigurano la portata dell’“archivio”, un’istituzione che non può più essere considerata come un mero ricettacolo ma che deve essere ricompresa come un polo di “sostanze attive, generative” ovvero performative. Come segnala </w:t>
      </w:r>
      <w:proofErr w:type="spellStart"/>
      <w:r w:rsidRPr="0081157B">
        <w:rPr>
          <w:rFonts w:ascii="Times New Roman" w:hAnsi="Times New Roman" w:cs="Times New Roman"/>
          <w:sz w:val="23"/>
          <w:szCs w:val="23"/>
        </w:rPr>
        <w:t>Hito</w:t>
      </w:r>
      <w:proofErr w:type="spellEnd"/>
      <w:r w:rsidRPr="0081157B">
        <w:rPr>
          <w:rFonts w:ascii="Times New Roman" w:hAnsi="Times New Roman" w:cs="Times New Roman"/>
          <w:sz w:val="23"/>
          <w:szCs w:val="23"/>
        </w:rPr>
        <w:t xml:space="preserve"> </w:t>
      </w:r>
      <w:proofErr w:type="spellStart"/>
      <w:r w:rsidRPr="0081157B">
        <w:rPr>
          <w:rFonts w:ascii="Times New Roman" w:hAnsi="Times New Roman" w:cs="Times New Roman"/>
          <w:sz w:val="23"/>
          <w:szCs w:val="23"/>
        </w:rPr>
        <w:t>Steyerl</w:t>
      </w:r>
      <w:proofErr w:type="spellEnd"/>
      <w:r w:rsidRPr="0081157B">
        <w:rPr>
          <w:rFonts w:ascii="Times New Roman" w:hAnsi="Times New Roman" w:cs="Times New Roman"/>
          <w:sz w:val="23"/>
          <w:szCs w:val="23"/>
        </w:rPr>
        <w:t xml:space="preserve"> infatti, ogni documento – la cui produzione e ricezione è segnata da relazioni di potere e ingiunzioni sociali – ha in sé, a sua volta, un </w:t>
      </w:r>
      <w:r w:rsidRPr="0081157B">
        <w:rPr>
          <w:rFonts w:ascii="Times New Roman" w:hAnsi="Times New Roman" w:cs="Times New Roman"/>
          <w:i/>
          <w:sz w:val="23"/>
          <w:szCs w:val="23"/>
        </w:rPr>
        <w:t xml:space="preserve">potere </w:t>
      </w:r>
      <w:r w:rsidRPr="0081157B">
        <w:rPr>
          <w:rFonts w:ascii="Times New Roman" w:hAnsi="Times New Roman" w:cs="Times New Roman"/>
          <w:sz w:val="23"/>
          <w:szCs w:val="23"/>
        </w:rPr>
        <w:t>trasformativo che gli deriva dalla capacità di identificare ciò che nelle relazioni di potere è imprevedibile. Ciò che un documento può registrare oltre la soglia normativa è il nucleo inimmaginabile, non detto, sconosciuto, mostruoso del reale, creando così una possibilità di cambiamento o di semplice redenzione.</w:t>
      </w:r>
    </w:p>
    <w:p w14:paraId="6284ADDD" w14:textId="239CC619" w:rsidR="00F9221D" w:rsidRPr="0081157B" w:rsidRDefault="00F9221D" w:rsidP="00F9221D">
      <w:pPr>
        <w:jc w:val="both"/>
        <w:rPr>
          <w:rFonts w:ascii="Times New Roman" w:hAnsi="Times New Roman" w:cs="Times New Roman"/>
          <w:sz w:val="23"/>
          <w:szCs w:val="23"/>
        </w:rPr>
      </w:pPr>
      <w:r w:rsidRPr="0081157B">
        <w:rPr>
          <w:rFonts w:ascii="Times New Roman" w:hAnsi="Times New Roman" w:cs="Times New Roman"/>
          <w:sz w:val="23"/>
          <w:szCs w:val="23"/>
        </w:rPr>
        <w:t>Iorio &amp; Cuomo non si limitano dunque a riattivare e riportare a visibilità fonti e materiali criptati. Le loro opere polifoniche, generate come esercizi politici, orchestrano l’incontro produttivo di voci passate con voci contemporanee con l’obiettivo di rimettere in gioco la nostra comprensione di un presente evanescente e sempre in fuga.</w:t>
      </w:r>
    </w:p>
    <w:p w14:paraId="3A6943FB" w14:textId="765B2E6C" w:rsidR="00ED7594" w:rsidRPr="0081157B" w:rsidRDefault="00F9221D" w:rsidP="00F9221D">
      <w:pPr>
        <w:jc w:val="both"/>
        <w:rPr>
          <w:rFonts w:ascii="Times New Roman" w:hAnsi="Times New Roman" w:cs="Times New Roman"/>
          <w:sz w:val="23"/>
          <w:szCs w:val="23"/>
        </w:rPr>
      </w:pPr>
      <w:r w:rsidRPr="0081157B">
        <w:rPr>
          <w:rFonts w:ascii="Times New Roman" w:hAnsi="Times New Roman" w:cs="Times New Roman"/>
          <w:sz w:val="23"/>
          <w:szCs w:val="23"/>
        </w:rPr>
        <w:t>Sono gli isomorfismi storici nella loro urgenza, che dal periodo postbellico mantengono un’</w:t>
      </w:r>
      <w:r w:rsidRPr="0081157B">
        <w:rPr>
          <w:rFonts w:ascii="Times New Roman" w:hAnsi="Times New Roman" w:cs="Times New Roman"/>
          <w:i/>
          <w:sz w:val="23"/>
          <w:szCs w:val="23"/>
        </w:rPr>
        <w:t>agency</w:t>
      </w:r>
      <w:r w:rsidRPr="0081157B">
        <w:rPr>
          <w:rFonts w:ascii="Times New Roman" w:hAnsi="Times New Roman" w:cs="Times New Roman"/>
          <w:sz w:val="23"/>
          <w:szCs w:val="23"/>
        </w:rPr>
        <w:t xml:space="preserve"> costante nel paesaggio postindustriale, a costituire i binari di una ricerca dalle derive operaiste, impregnata dalla cultura neorealista e dai processi e dalle finzioni di costruzione democratica. Urbanismo e criticità abitative, decolonizzazione, emergenza di nuove tecnologie, obsolescenza programmata di dispositivi di uso quotidiano e riorganizzazione simbolica del capitalismo, topos culturale della frontiera, figure di migrazione e geografia umana. Appoggiandosi su epistemologie radicali e teorie dello spazio</w:t>
      </w:r>
      <w:r w:rsidR="006A63A5">
        <w:rPr>
          <w:rFonts w:ascii="Times New Roman" w:hAnsi="Times New Roman" w:cs="Times New Roman"/>
          <w:sz w:val="23"/>
          <w:szCs w:val="23"/>
        </w:rPr>
        <w:t xml:space="preserve"> </w:t>
      </w:r>
      <w:proofErr w:type="spellStart"/>
      <w:r w:rsidR="006A63A5">
        <w:rPr>
          <w:rFonts w:ascii="Times New Roman" w:hAnsi="Times New Roman" w:cs="Times New Roman"/>
          <w:sz w:val="23"/>
          <w:szCs w:val="23"/>
        </w:rPr>
        <w:t>post</w:t>
      </w:r>
      <w:r w:rsidRPr="0081157B">
        <w:rPr>
          <w:rFonts w:ascii="Times New Roman" w:hAnsi="Times New Roman" w:cs="Times New Roman"/>
          <w:sz w:val="23"/>
          <w:szCs w:val="23"/>
        </w:rPr>
        <w:t>nazionalista</w:t>
      </w:r>
      <w:proofErr w:type="spellEnd"/>
      <w:r w:rsidRPr="0081157B">
        <w:rPr>
          <w:rFonts w:ascii="Times New Roman" w:hAnsi="Times New Roman" w:cs="Times New Roman"/>
          <w:sz w:val="23"/>
          <w:szCs w:val="23"/>
        </w:rPr>
        <w:t xml:space="preserve">, la pratica di Iorio &amp; Cuomo si nutre di una metodologia di </w:t>
      </w:r>
      <w:proofErr w:type="spellStart"/>
      <w:r w:rsidRPr="0081157B">
        <w:rPr>
          <w:rFonts w:ascii="Times New Roman" w:hAnsi="Times New Roman" w:cs="Times New Roman"/>
          <w:sz w:val="23"/>
          <w:szCs w:val="23"/>
        </w:rPr>
        <w:t>defamiliarizzazione</w:t>
      </w:r>
      <w:proofErr w:type="spellEnd"/>
      <w:r w:rsidRPr="0081157B">
        <w:rPr>
          <w:rFonts w:ascii="Times New Roman" w:hAnsi="Times New Roman" w:cs="Times New Roman"/>
          <w:sz w:val="23"/>
          <w:szCs w:val="23"/>
        </w:rPr>
        <w:t xml:space="preserve"> dalle tradizionali prassi identitarie per pensare “nuove soggettività” dotate di una cittadinanza che, come preconizzava</w:t>
      </w:r>
      <w:r w:rsidR="00ED7594" w:rsidRPr="0081157B">
        <w:rPr>
          <w:rFonts w:ascii="Times New Roman" w:hAnsi="Times New Roman" w:cs="Times New Roman"/>
          <w:sz w:val="23"/>
          <w:szCs w:val="23"/>
        </w:rPr>
        <w:t xml:space="preserve"> </w:t>
      </w:r>
      <w:proofErr w:type="spellStart"/>
      <w:r w:rsidRPr="0081157B">
        <w:rPr>
          <w:rFonts w:ascii="Times New Roman" w:hAnsi="Times New Roman" w:cs="Times New Roman"/>
          <w:sz w:val="23"/>
          <w:szCs w:val="23"/>
        </w:rPr>
        <w:t>Seyla</w:t>
      </w:r>
      <w:proofErr w:type="spellEnd"/>
      <w:r w:rsidRPr="0081157B">
        <w:rPr>
          <w:rFonts w:ascii="Times New Roman" w:hAnsi="Times New Roman" w:cs="Times New Roman"/>
          <w:sz w:val="23"/>
          <w:szCs w:val="23"/>
        </w:rPr>
        <w:t xml:space="preserve"> </w:t>
      </w:r>
      <w:proofErr w:type="spellStart"/>
      <w:r w:rsidRPr="0081157B">
        <w:rPr>
          <w:rFonts w:ascii="Times New Roman" w:hAnsi="Times New Roman" w:cs="Times New Roman"/>
          <w:sz w:val="23"/>
          <w:szCs w:val="23"/>
        </w:rPr>
        <w:t>Benhabib</w:t>
      </w:r>
      <w:proofErr w:type="spellEnd"/>
      <w:r w:rsidRPr="0081157B">
        <w:rPr>
          <w:rFonts w:ascii="Times New Roman" w:hAnsi="Times New Roman" w:cs="Times New Roman"/>
          <w:sz w:val="23"/>
          <w:szCs w:val="23"/>
        </w:rPr>
        <w:t>, si annuncia flessibi</w:t>
      </w:r>
      <w:r w:rsidR="006A63A5">
        <w:rPr>
          <w:rFonts w:ascii="Times New Roman" w:hAnsi="Times New Roman" w:cs="Times New Roman"/>
          <w:sz w:val="23"/>
          <w:szCs w:val="23"/>
        </w:rPr>
        <w:t>le, sopran</w:t>
      </w:r>
      <w:bookmarkStart w:id="0" w:name="_GoBack"/>
      <w:bookmarkEnd w:id="0"/>
      <w:r w:rsidRPr="0081157B">
        <w:rPr>
          <w:rFonts w:ascii="Times New Roman" w:hAnsi="Times New Roman" w:cs="Times New Roman"/>
          <w:sz w:val="23"/>
          <w:szCs w:val="23"/>
        </w:rPr>
        <w:t xml:space="preserve">nazionale e non universalista. </w:t>
      </w:r>
    </w:p>
    <w:p w14:paraId="34D5DBEB" w14:textId="77777777" w:rsidR="00ED7594" w:rsidRPr="0081157B" w:rsidRDefault="00F9221D" w:rsidP="00F9221D">
      <w:pPr>
        <w:jc w:val="both"/>
        <w:rPr>
          <w:rFonts w:ascii="Times New Roman" w:hAnsi="Times New Roman" w:cs="Times New Roman"/>
          <w:sz w:val="23"/>
          <w:szCs w:val="23"/>
        </w:rPr>
      </w:pPr>
      <w:r w:rsidRPr="0081157B">
        <w:rPr>
          <w:rFonts w:ascii="Times New Roman" w:hAnsi="Times New Roman" w:cs="Times New Roman"/>
          <w:sz w:val="23"/>
          <w:szCs w:val="23"/>
        </w:rPr>
        <w:t xml:space="preserve">Questione che implica altrettanti processi di appropriazione di una specifica militanza e di un’immaginazione critica, nelle sue dinamiche di autorappresentazione </w:t>
      </w:r>
      <w:r w:rsidR="00ED7594" w:rsidRPr="0081157B">
        <w:rPr>
          <w:rFonts w:ascii="Times New Roman" w:hAnsi="Times New Roman" w:cs="Times New Roman"/>
          <w:sz w:val="23"/>
          <w:szCs w:val="23"/>
        </w:rPr>
        <w:t xml:space="preserve">e di genealogia. </w:t>
      </w:r>
    </w:p>
    <w:p w14:paraId="5F89C1BB" w14:textId="77777777" w:rsidR="00ED7594" w:rsidRPr="0081157B" w:rsidRDefault="00ED7594" w:rsidP="00F9221D">
      <w:pPr>
        <w:jc w:val="both"/>
        <w:rPr>
          <w:rFonts w:ascii="Times New Roman" w:hAnsi="Times New Roman" w:cs="Times New Roman"/>
          <w:sz w:val="23"/>
          <w:szCs w:val="23"/>
        </w:rPr>
      </w:pPr>
    </w:p>
    <w:p w14:paraId="71C7233A" w14:textId="0B62920D" w:rsidR="009F7692" w:rsidRPr="0081157B" w:rsidRDefault="00F9221D" w:rsidP="00F9221D">
      <w:pPr>
        <w:jc w:val="both"/>
        <w:rPr>
          <w:rFonts w:ascii="Times New Roman" w:hAnsi="Times New Roman" w:cs="Times New Roman"/>
          <w:b/>
          <w:sz w:val="23"/>
          <w:szCs w:val="23"/>
        </w:rPr>
      </w:pPr>
      <w:r w:rsidRPr="0081157B">
        <w:rPr>
          <w:rFonts w:ascii="Times New Roman" w:hAnsi="Times New Roman" w:cs="Times New Roman"/>
          <w:b/>
          <w:sz w:val="23"/>
          <w:szCs w:val="23"/>
        </w:rPr>
        <w:t xml:space="preserve">Simone Frangi &amp; </w:t>
      </w:r>
      <w:proofErr w:type="spellStart"/>
      <w:r w:rsidRPr="0081157B">
        <w:rPr>
          <w:rFonts w:ascii="Times New Roman" w:hAnsi="Times New Roman" w:cs="Times New Roman"/>
          <w:b/>
          <w:sz w:val="23"/>
          <w:szCs w:val="23"/>
        </w:rPr>
        <w:t>Virginie</w:t>
      </w:r>
      <w:proofErr w:type="spellEnd"/>
      <w:r w:rsidRPr="0081157B">
        <w:rPr>
          <w:rFonts w:ascii="Times New Roman" w:hAnsi="Times New Roman" w:cs="Times New Roman"/>
          <w:b/>
          <w:sz w:val="23"/>
          <w:szCs w:val="23"/>
        </w:rPr>
        <w:t xml:space="preserve"> </w:t>
      </w:r>
      <w:proofErr w:type="spellStart"/>
      <w:r w:rsidRPr="0081157B">
        <w:rPr>
          <w:rFonts w:ascii="Times New Roman" w:hAnsi="Times New Roman" w:cs="Times New Roman"/>
          <w:b/>
          <w:sz w:val="23"/>
          <w:szCs w:val="23"/>
        </w:rPr>
        <w:t>Bobin</w:t>
      </w:r>
      <w:proofErr w:type="spellEnd"/>
    </w:p>
    <w:sectPr w:rsidR="009F7692" w:rsidRPr="0081157B" w:rsidSect="00BF287B">
      <w:headerReference w:type="default" r:id="rId7"/>
      <w:footerReference w:type="default" r:id="rId8"/>
      <w:pgSz w:w="11900" w:h="16840" w:code="9"/>
      <w:pgMar w:top="1701" w:right="1134" w:bottom="1134" w:left="1134" w:header="2268" w:footer="198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6AF273" w14:textId="77777777" w:rsidR="00471FC3" w:rsidRDefault="00471FC3" w:rsidP="00A55E6D">
      <w:r>
        <w:separator/>
      </w:r>
    </w:p>
  </w:endnote>
  <w:endnote w:type="continuationSeparator" w:id="0">
    <w:p w14:paraId="01D0F1A7" w14:textId="77777777" w:rsidR="00471FC3" w:rsidRDefault="00471FC3" w:rsidP="00A55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F242E" w14:textId="295917F8" w:rsidR="00F9221D" w:rsidRDefault="00F9221D" w:rsidP="00220615">
    <w:pPr>
      <w:pStyle w:val="Pidipagina"/>
      <w:tabs>
        <w:tab w:val="clear" w:pos="9638"/>
        <w:tab w:val="right" w:pos="10773"/>
      </w:tabs>
      <w:ind w:left="-1134"/>
    </w:pPr>
    <w:r>
      <w:rPr>
        <w:noProof/>
      </w:rPr>
      <w:drawing>
        <wp:anchor distT="0" distB="0" distL="114300" distR="114300" simplePos="0" relativeHeight="251662336" behindDoc="1" locked="0" layoutInCell="1" allowOverlap="1" wp14:anchorId="4F4DB411" wp14:editId="6BD8E489">
          <wp:simplePos x="0" y="0"/>
          <wp:positionH relativeFrom="page">
            <wp:align>center</wp:align>
          </wp:positionH>
          <wp:positionV relativeFrom="page">
            <wp:align>bottom</wp:align>
          </wp:positionV>
          <wp:extent cx="7563600" cy="1267200"/>
          <wp:effectExtent l="0" t="0" r="0" b="0"/>
          <wp:wrapTight wrapText="bothSides">
            <wp:wrapPolygon edited="0">
              <wp:start x="925" y="1624"/>
              <wp:lineTo x="925" y="2923"/>
              <wp:lineTo x="1469" y="7471"/>
              <wp:lineTo x="1578" y="12668"/>
              <wp:lineTo x="870" y="13317"/>
              <wp:lineTo x="925" y="15916"/>
              <wp:lineTo x="5386" y="17540"/>
              <wp:lineTo x="7562" y="17540"/>
              <wp:lineTo x="8106" y="16890"/>
              <wp:lineTo x="20619" y="12992"/>
              <wp:lineTo x="20728" y="8120"/>
              <wp:lineTo x="7562" y="7471"/>
              <wp:lineTo x="20565" y="3573"/>
              <wp:lineTo x="20782" y="2598"/>
              <wp:lineTo x="19368" y="1624"/>
              <wp:lineTo x="925" y="1624"/>
            </wp:wrapPolygon>
          </wp:wrapTight>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OOTER-ITA-FURLA-VENEZIA-2015_CI_ITA.png"/>
                  <pic:cNvPicPr/>
                </pic:nvPicPr>
                <pic:blipFill>
                  <a:blip r:embed="rId1">
                    <a:extLst>
                      <a:ext uri="{28A0092B-C50C-407E-A947-70E740481C1C}">
                        <a14:useLocalDpi xmlns:a14="http://schemas.microsoft.com/office/drawing/2010/main" val="0"/>
                      </a:ext>
                    </a:extLst>
                  </a:blip>
                  <a:stretch>
                    <a:fillRect/>
                  </a:stretch>
                </pic:blipFill>
                <pic:spPr>
                  <a:xfrm>
                    <a:off x="0" y="0"/>
                    <a:ext cx="7563600" cy="12672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22121D" w14:textId="77777777" w:rsidR="00471FC3" w:rsidRDefault="00471FC3" w:rsidP="00A55E6D">
      <w:r>
        <w:separator/>
      </w:r>
    </w:p>
  </w:footnote>
  <w:footnote w:type="continuationSeparator" w:id="0">
    <w:p w14:paraId="6CDF8DF0" w14:textId="77777777" w:rsidR="00471FC3" w:rsidRDefault="00471FC3" w:rsidP="00A55E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D51F3" w14:textId="1D4B749A" w:rsidR="00F9221D" w:rsidRPr="00A55E6D" w:rsidRDefault="00F9221D" w:rsidP="00AE4543">
    <w:pPr>
      <w:pStyle w:val="Intestazione"/>
      <w:tabs>
        <w:tab w:val="clear" w:pos="9638"/>
        <w:tab w:val="right" w:pos="10773"/>
      </w:tabs>
      <w:ind w:left="-1134"/>
      <w:jc w:val="center"/>
    </w:pPr>
    <w:r>
      <w:rPr>
        <w:noProof/>
      </w:rPr>
      <w:drawing>
        <wp:anchor distT="0" distB="0" distL="114300" distR="114300" simplePos="0" relativeHeight="251658240" behindDoc="1" locked="0" layoutInCell="1" allowOverlap="1" wp14:anchorId="6E9F6195" wp14:editId="03496AD1">
          <wp:simplePos x="0" y="0"/>
          <wp:positionH relativeFrom="page">
            <wp:align>center</wp:align>
          </wp:positionH>
          <wp:positionV relativeFrom="topMargin">
            <wp:align>center</wp:align>
          </wp:positionV>
          <wp:extent cx="1620000" cy="1260000"/>
          <wp:effectExtent l="0" t="0" r="0" b="0"/>
          <wp:wrapTight wrapText="bothSides">
            <wp:wrapPolygon edited="0">
              <wp:start x="0" y="0"/>
              <wp:lineTo x="0" y="21230"/>
              <wp:lineTo x="21338" y="21230"/>
              <wp:lineTo x="21338" y="0"/>
              <wp:lineTo x="0" y="0"/>
            </wp:wrapPolygon>
          </wp:wrapTight>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PREMIO-FURLA-VENEZIA-2015_CI_eng.png"/>
                  <pic:cNvPicPr/>
                </pic:nvPicPr>
                <pic:blipFill>
                  <a:blip r:embed="rId1">
                    <a:extLst>
                      <a:ext uri="{28A0092B-C50C-407E-A947-70E740481C1C}">
                        <a14:useLocalDpi xmlns:a14="http://schemas.microsoft.com/office/drawing/2010/main" val="0"/>
                      </a:ext>
                    </a:extLst>
                  </a:blip>
                  <a:stretch>
                    <a:fillRect/>
                  </a:stretch>
                </pic:blipFill>
                <pic:spPr>
                  <a:xfrm>
                    <a:off x="0" y="0"/>
                    <a:ext cx="1620000" cy="126000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5E6D"/>
    <w:rsid w:val="00086D69"/>
    <w:rsid w:val="000F0945"/>
    <w:rsid w:val="001225AC"/>
    <w:rsid w:val="00140194"/>
    <w:rsid w:val="0020304F"/>
    <w:rsid w:val="00220615"/>
    <w:rsid w:val="002264AD"/>
    <w:rsid w:val="00231983"/>
    <w:rsid w:val="00343B9D"/>
    <w:rsid w:val="0042622D"/>
    <w:rsid w:val="00436B8D"/>
    <w:rsid w:val="00471FC3"/>
    <w:rsid w:val="00476816"/>
    <w:rsid w:val="004F7C85"/>
    <w:rsid w:val="00574AD4"/>
    <w:rsid w:val="00580DDB"/>
    <w:rsid w:val="005963E0"/>
    <w:rsid w:val="005B71BC"/>
    <w:rsid w:val="006411E0"/>
    <w:rsid w:val="00643538"/>
    <w:rsid w:val="00666BC2"/>
    <w:rsid w:val="006861FA"/>
    <w:rsid w:val="006943A9"/>
    <w:rsid w:val="006A63A5"/>
    <w:rsid w:val="006F63F1"/>
    <w:rsid w:val="006F662B"/>
    <w:rsid w:val="00763D6D"/>
    <w:rsid w:val="00796B8B"/>
    <w:rsid w:val="007A160A"/>
    <w:rsid w:val="0081157B"/>
    <w:rsid w:val="0083382D"/>
    <w:rsid w:val="00873748"/>
    <w:rsid w:val="008A6F7B"/>
    <w:rsid w:val="009F7692"/>
    <w:rsid w:val="00A55E6D"/>
    <w:rsid w:val="00AB7227"/>
    <w:rsid w:val="00AE4543"/>
    <w:rsid w:val="00BB498D"/>
    <w:rsid w:val="00BE2121"/>
    <w:rsid w:val="00BF287B"/>
    <w:rsid w:val="00D0194B"/>
    <w:rsid w:val="00D031F3"/>
    <w:rsid w:val="00D110BE"/>
    <w:rsid w:val="00DC6731"/>
    <w:rsid w:val="00E35C52"/>
    <w:rsid w:val="00E661F9"/>
    <w:rsid w:val="00E70270"/>
    <w:rsid w:val="00EA53FB"/>
    <w:rsid w:val="00ED7594"/>
    <w:rsid w:val="00F66263"/>
    <w:rsid w:val="00F9221D"/>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08784C0"/>
  <w14:defaultImageDpi w14:val="300"/>
  <w15:docId w15:val="{61DD336A-2F92-4C3F-BE05-7DB32D318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9F769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A55E6D"/>
    <w:pPr>
      <w:tabs>
        <w:tab w:val="center" w:pos="4819"/>
        <w:tab w:val="right" w:pos="9638"/>
      </w:tabs>
    </w:pPr>
  </w:style>
  <w:style w:type="character" w:customStyle="1" w:styleId="IntestazioneCarattere">
    <w:name w:val="Intestazione Carattere"/>
    <w:basedOn w:val="Carpredefinitoparagrafo"/>
    <w:link w:val="Intestazione"/>
    <w:uiPriority w:val="99"/>
    <w:rsid w:val="00A55E6D"/>
  </w:style>
  <w:style w:type="paragraph" w:styleId="Pidipagina">
    <w:name w:val="footer"/>
    <w:basedOn w:val="Normale"/>
    <w:link w:val="PidipaginaCarattere"/>
    <w:uiPriority w:val="99"/>
    <w:unhideWhenUsed/>
    <w:rsid w:val="00A55E6D"/>
    <w:pPr>
      <w:tabs>
        <w:tab w:val="center" w:pos="4819"/>
        <w:tab w:val="right" w:pos="9638"/>
      </w:tabs>
    </w:pPr>
  </w:style>
  <w:style w:type="character" w:customStyle="1" w:styleId="PidipaginaCarattere">
    <w:name w:val="Piè di pagina Carattere"/>
    <w:basedOn w:val="Carpredefinitoparagrafo"/>
    <w:link w:val="Pidipagina"/>
    <w:uiPriority w:val="99"/>
    <w:rsid w:val="00A55E6D"/>
  </w:style>
  <w:style w:type="paragraph" w:styleId="Testofumetto">
    <w:name w:val="Balloon Text"/>
    <w:basedOn w:val="Normale"/>
    <w:link w:val="TestofumettoCarattere"/>
    <w:uiPriority w:val="99"/>
    <w:semiHidden/>
    <w:unhideWhenUsed/>
    <w:rsid w:val="00A55E6D"/>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A55E6D"/>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B82526-2174-4C46-9F95-6EEC678F0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597</Words>
  <Characters>3404</Characters>
  <Application>Microsoft Office Word</Application>
  <DocSecurity>0</DocSecurity>
  <Lines>28</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Luciano Scoglio</dc:creator>
  <cp:keywords/>
  <dc:description/>
  <cp:lastModifiedBy>Zoja Ivanisevic</cp:lastModifiedBy>
  <cp:revision>9</cp:revision>
  <cp:lastPrinted>2015-04-15T10:34:00Z</cp:lastPrinted>
  <dcterms:created xsi:type="dcterms:W3CDTF">2015-04-16T05:28:00Z</dcterms:created>
  <dcterms:modified xsi:type="dcterms:W3CDTF">2015-04-20T14:52:00Z</dcterms:modified>
</cp:coreProperties>
</file>